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Санаторно-курортная путевка </w:t>
      </w:r>
      <w:r>
        <w:rPr>
          <w:rFonts w:ascii="Times New Roman" w:hAnsi="Times New Roman"/>
          <w:b/>
          <w:color w:val="000000"/>
          <w:sz w:val="28"/>
          <w:szCs w:val="28"/>
        </w:rPr>
        <w:t>«Здоровье-базовая»</w:t>
      </w:r>
    </w:p>
    <w:p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Санаторно-курортная путевка рекомендована для профилактики возникновения и обострения болезней; для проведения восстановительного лечения и реабилитации на основе использования природных лечебно- оздоровительных факторов и применение их в передовых современных методиках лечения. Лечебная программа способствует улучшению общего состояния здоровья, оздоровлению и омоложению всего организма, улучшению качества жизни.  </w:t>
      </w:r>
    </w:p>
    <w:p>
      <w:pPr>
        <w:spacing w:after="0" w:line="240" w:lineRule="auto"/>
        <w:ind w:right="-24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Срок пребывания по путевке – от 10 дней</w:t>
      </w:r>
    </w:p>
    <w:p>
      <w:pPr>
        <w:spacing w:after="0" w:line="240" w:lineRule="auto"/>
        <w:ind w:right="-24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Показания по возрасту – от 14 лет</w:t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6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5461"/>
        <w:gridCol w:w="2619"/>
        <w:gridCol w:w="582"/>
        <w:gridCol w:w="654"/>
        <w:gridCol w:w="654"/>
        <w:gridCol w:w="661"/>
      </w:tblGrid>
      <w:tr>
        <w:trPr>
          <w:trHeight w:val="235"/>
          <w:tblHeader w:val="on"/>
          <w:jc w:val="center"/>
        </w:trPr>
        <w:tc>
          <w:tcPr>
            <w:cnfStyle w:val="101000000000"/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 п\п</w:t>
            </w:r>
          </w:p>
        </w:tc>
        <w:tc>
          <w:tcPr>
            <w:cnfStyle w:val="100000000000"/>
            <w:tcW w:w="5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contextualSpacing w:val="on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Наименование лечебно- диагностического мероприятия</w:t>
            </w:r>
          </w:p>
        </w:tc>
        <w:tc>
          <w:tcPr>
            <w:cnfStyle w:val="100000000000"/>
            <w:tcW w:w="4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Количество исследований, консультаций, процедур</w:t>
            </w:r>
          </w:p>
        </w:tc>
      </w:tr>
      <w:tr>
        <w:trPr>
          <w:trHeight w:val="255"/>
          <w:tblHeader w:val="on"/>
          <w:jc w:val="center"/>
        </w:trPr>
        <w:tc>
          <w:tcPr>
            <w:cnfStyle w:val="001000100000"/>
            <w:tcW w:w="10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cnfStyle w:val="000000100000"/>
            <w:tcW w:w="5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 дней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 дней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 дней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 день</w:t>
            </w:r>
          </w:p>
        </w:tc>
      </w:tr>
      <w:tr>
        <w:trPr>
          <w:trHeight w:val="197"/>
          <w:jc w:val="center"/>
        </w:trPr>
        <w:tc>
          <w:tcPr>
            <w:cnfStyle w:val="001000010000"/>
            <w:tcW w:w="10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Диагностический блок</w:t>
            </w:r>
          </w:p>
        </w:tc>
      </w:tr>
      <w:tr>
        <w:trPr>
          <w:trHeight w:val="212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Клинический анализ крови (по показаниям)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197"/>
          <w:jc w:val="center"/>
        </w:trPr>
        <w:tc>
          <w:tcPr>
            <w:cnfStyle w:val="00100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0001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Биохимический анализ крови: глюкоза крови (по показаниям)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12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Клинический анализ мочи (по показаниям)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197"/>
          <w:jc w:val="center"/>
        </w:trPr>
        <w:tc>
          <w:tcPr>
            <w:cnfStyle w:val="00100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cnfStyle w:val="00000001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Электрокардиография (ЭКГ)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12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Ректороманоскопия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RRS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(по показаниям)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+</w:t>
            </w:r>
          </w:p>
        </w:tc>
      </w:tr>
      <w:tr>
        <w:trPr>
          <w:trHeight w:val="235"/>
          <w:jc w:val="center"/>
        </w:trPr>
        <w:tc>
          <w:tcPr>
            <w:cnfStyle w:val="00100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cnfStyle w:val="00000001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>Фиброгастроскопия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 xml:space="preserve"> или Экспресс - диагностика атеросклероза сосудов на аппарате «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>Ангиоскан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 xml:space="preserve">» или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>Биоимпедансометрия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 xml:space="preserve"> (по показаниям) или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>Липидограмма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 xml:space="preserve"> (по показаниям)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792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Консультативный прием врача – специалиста: физиотерапевт, гастроэнтеролог, гинеколог, уролог, травматолог-ортопед, диетолог, мануальный терапевт,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озонотерапевт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офтальмолог,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карбокситерапевт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пульмонолог                       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(по показаниям)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>
        <w:trPr>
          <w:trHeight w:val="212"/>
          <w:jc w:val="center"/>
        </w:trPr>
        <w:tc>
          <w:tcPr>
            <w:cnfStyle w:val="00100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cnfStyle w:val="00000001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Прием лечащего врача первичный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197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Прием лечащего врача повторный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>
        <w:trPr>
          <w:trHeight w:val="197"/>
          <w:jc w:val="center"/>
        </w:trPr>
        <w:tc>
          <w:tcPr>
            <w:cnfStyle w:val="001000010000"/>
            <w:tcW w:w="10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Лечебный блок</w:t>
            </w:r>
          </w:p>
        </w:tc>
      </w:tr>
      <w:tr>
        <w:trPr>
          <w:trHeight w:val="212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Hlk129704637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Климатотерапия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</w:tr>
      <w:tr>
        <w:trPr>
          <w:trHeight w:val="209"/>
          <w:jc w:val="center"/>
        </w:trPr>
        <w:tc>
          <w:tcPr>
            <w:cnfStyle w:val="00100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0001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Питьевое лечение: прием минеральной воды 3 раза в день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01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</w:tr>
      <w:tr>
        <w:trPr>
          <w:trHeight w:val="213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Диетическое питание 3-х разовое по системе «шведский стол»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</w:tr>
      <w:tr>
        <w:trPr>
          <w:trHeight w:val="212"/>
          <w:jc w:val="center"/>
        </w:trPr>
        <w:tc>
          <w:tcPr>
            <w:cnfStyle w:val="00100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cnfStyle w:val="00000001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Фитотерапия: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фиточай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раз в день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01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</w:tr>
      <w:tr>
        <w:trPr>
          <w:trHeight w:val="197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Кислородный коктейль 1 раз в день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</w:tr>
      <w:tr>
        <w:trPr>
          <w:trHeight w:val="1048"/>
          <w:jc w:val="center"/>
        </w:trPr>
        <w:tc>
          <w:tcPr>
            <w:cnfStyle w:val="00100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End w:id="0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cnfStyle w:val="00000001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Водолечение: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Ванны углекисло-минеральные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                                                     или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                 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анны на основе пресной воды (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йодо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- бромные, хвойно- жемчужные, ароматические, пенно-лакричные (солодковые),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бишофитовые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пантокриново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-жемчужные,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нанолан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                                                     или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сухие углекислые ванны (СУВ)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1 вид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cnfStyle w:val="00000001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>
        <w:trPr>
          <w:trHeight w:val="410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Пелоидотерапия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аппликационная грязь,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магнито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-грязь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2-4 аппликации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>
        <w:trPr>
          <w:trHeight w:val="836"/>
          <w:jc w:val="center"/>
        </w:trPr>
        <w:tc>
          <w:tcPr>
            <w:cnfStyle w:val="00100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cnfStyle w:val="00000001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Гидротерапия: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циркулярный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восходящий, душ Шарко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1вид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                                                   или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Вихревые ванны для рук или ног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1вид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cnfStyle w:val="00000001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>
        <w:trPr>
          <w:trHeight w:val="410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Массаж ручной классический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1,5 ед.                                              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ВЛОК (внутривенное лазерное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освечение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крови) или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Н-ВЛОК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надвенное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лазерное облучение крови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4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6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>
        <w:trPr>
          <w:trHeight w:val="410"/>
          <w:jc w:val="center"/>
        </w:trPr>
        <w:tc>
          <w:tcPr>
            <w:cnfStyle w:val="00100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cnfStyle w:val="00000001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Ингаляции щелочные (с минеральной водой), лекарственные, кислородные ингаляции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1- вид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cnfStyle w:val="00000001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>
        <w:trPr>
          <w:trHeight w:val="1048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Аппаратная физиотерапия: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гальванизация, лекарственный электрофорез, СМТ- терапия, ДДТ- терапия,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интерферренция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миостимуляция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вакуумтерапия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, лазеротерапия,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магнитотерапия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локальная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1-2 вида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</w:tr>
      <w:tr>
        <w:trPr>
          <w:trHeight w:val="410"/>
          <w:jc w:val="center"/>
        </w:trPr>
        <w:tc>
          <w:tcPr>
            <w:cnfStyle w:val="00100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cnfStyle w:val="00000001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Очистительная клизма с минеральной водой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01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410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 xml:space="preserve">Микроклизмы лекарственные 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none"/>
              </w:rPr>
              <w:t xml:space="preserve">или  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none"/>
              </w:rPr>
              <w:t xml:space="preserve">Кислородная капсула                  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 xml:space="preserve">                                                                           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bookmarkStart w:id="1" w:name="_GoBack"/>
            <w:bookmarkEnd w:id="1"/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>
        <w:trPr>
          <w:trHeight w:val="189"/>
          <w:jc w:val="center"/>
        </w:trPr>
        <w:tc>
          <w:tcPr>
            <w:cnfStyle w:val="00100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cnfStyle w:val="00000001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Орошение десен                                                   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или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Орошение лица минеральной водой</w:t>
            </w:r>
          </w:p>
          <w:p>
            <w:pPr>
              <w:spacing w:after="0" w:line="240" w:lineRule="auto"/>
              <w:contextualSpacing w:val="on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                      1 вид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cnfStyle w:val="00000001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</w:tr>
      <w:tr>
        <w:trPr>
          <w:trHeight w:val="212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Неотложная медицинская помощь (при необходимости)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+</w:t>
            </w:r>
          </w:p>
        </w:tc>
      </w:tr>
      <w:tr>
        <w:trPr>
          <w:trHeight w:val="638"/>
          <w:jc w:val="center"/>
        </w:trPr>
        <w:tc>
          <w:tcPr>
            <w:cnfStyle w:val="001000010000"/>
            <w:tcW w:w="10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Оздоровительный блок</w:t>
            </w: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(Процедуры данного блока не подлежат замене на процедуры диагностического и лечебного блоков.</w:t>
            </w:r>
          </w:p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Их назначение не влияет на сумму денежных средств, выделенных в путевке на лечение)</w:t>
            </w:r>
          </w:p>
        </w:tc>
      </w:tr>
      <w:tr>
        <w:trPr>
          <w:trHeight w:val="319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Терренкур - прогулки в лечебном парке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</w:tr>
      <w:tr>
        <w:trPr>
          <w:trHeight w:val="319"/>
          <w:jc w:val="center"/>
        </w:trPr>
        <w:tc>
          <w:tcPr>
            <w:cnfStyle w:val="00100001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cnfStyle w:val="00000001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БОНУС: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Лечебное плавание в сочетании с термотерапией (сауна,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хаммам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 1 час</w:t>
            </w:r>
          </w:p>
        </w:tc>
        <w:tc>
          <w:tcPr>
            <w:cnfStyle w:val="00000001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01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01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</w:tr>
      <w:tr>
        <w:trPr>
          <w:trHeight w:val="197"/>
          <w:jc w:val="center"/>
        </w:trPr>
        <w:tc>
          <w:tcPr>
            <w:cnfStyle w:val="001000100000"/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cnfStyle w:val="000000100000"/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contextualSpacing w:val="on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БОНУС: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Тренажерный зал 1 час</w:t>
            </w:r>
          </w:p>
        </w:tc>
        <w:tc>
          <w:tcPr>
            <w:cnfStyle w:val="000000100000"/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cnfStyle w:val="000000100000"/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contextualSpacing w:val="on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ежедневно</w:t>
            </w:r>
          </w:p>
        </w:tc>
      </w:tr>
    </w:tbl>
    <w:p>
      <w:pPr>
        <w:spacing w:after="0" w:line="240" w:lineRule="auto"/>
        <w:contextualSpacing w:val="on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2" w:name="_Hlk505775801"/>
    </w:p>
    <w:p>
      <w:pPr>
        <w:pStyle w:val="List2"/>
        <w:ind w:firstLine="143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>
      <w:pPr>
        <w:pStyle w:val="List2"/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3" w:name="_Hlk129779188"/>
      <w:bookmarkStart w:id="4" w:name="_Hlk129704838"/>
      <w:r>
        <w:rPr>
          <w:rFonts w:ascii="Times New Roman" w:hAnsi="Times New Roman"/>
          <w:b/>
          <w:bCs/>
          <w:color w:val="000000"/>
          <w:sz w:val="18"/>
          <w:szCs w:val="18"/>
        </w:rPr>
        <w:t>Условия оказания</w:t>
      </w:r>
      <w:r>
        <w:rPr>
          <w:rFonts w:ascii="Times New Roman" w:hAnsi="Times New Roman"/>
          <w:bCs/>
          <w:color w:val="000000"/>
          <w:sz w:val="18"/>
          <w:szCs w:val="18"/>
        </w:rPr>
        <w:t>: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>
      <w:pPr>
        <w:pStyle w:val="List2"/>
        <w:tabs>
          <w:tab w:val="left" w:pos="426"/>
        </w:tabs>
        <w:ind w:left="0" w:firstLine="0"/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>
      <w:pPr>
        <w:pStyle w:val="List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bookmarkEnd w:id="2"/>
      <w:r>
        <w:rPr>
          <w:rFonts w:ascii="Times New Roman" w:hAnsi="Times New Roman"/>
          <w:color w:val="000000"/>
          <w:sz w:val="18"/>
          <w:szCs w:val="18"/>
        </w:rPr>
        <w:t>Назначение объема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диагностических исследований, видов лечения, количества и кратности приема процедур определяет лечащий врач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 xml:space="preserve">с учетом диагноза, степени тяжести, стадии и фазы заболевания, наличия сопутствующих заболеваний, указанных в санаторно- курортной карте гостя или выявленных при обследовании в санатории. </w:t>
      </w:r>
    </w:p>
    <w:p>
      <w:pPr>
        <w:pStyle w:val="List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При заселении в санаторий необходимо при себе иметь:</w:t>
      </w:r>
    </w:p>
    <w:p>
      <w:pPr>
        <w:pStyle w:val="List2"/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документ, удостоверяющий личность (паспорт);</w:t>
      </w:r>
    </w:p>
    <w:p>
      <w:pPr>
        <w:pStyle w:val="List2"/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санаторно-курортную карту по форме 072/у, оформленную в соответствии с Приказом Министерства здравоохранения РФ от 5 мая 2016 г. N 279н "Об утверждении Порядка организации санаторно-курортного лечения";</w:t>
      </w:r>
    </w:p>
    <w:p>
      <w:pPr>
        <w:pStyle w:val="List2"/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полис ОМС или ДМС (при наличии).</w:t>
      </w:r>
    </w:p>
    <w:p>
      <w:pPr>
        <w:pStyle w:val="List2"/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bookmarkStart w:id="5" w:name="_Hlk129778722"/>
      <w:r>
        <w:rPr>
          <w:rFonts w:ascii="Times New Roman" w:hAnsi="Times New Roman"/>
          <w:color w:val="000000"/>
          <w:sz w:val="18"/>
          <w:szCs w:val="18"/>
        </w:rPr>
        <w:t>При отсутствии санаторно-курортной карты назначение лечения будет отсрочено на время, необходимое для прохождения диагностических мероприятий в условиях санатория (3 рабочих дня).</w:t>
      </w:r>
    </w:p>
    <w:p>
      <w:pPr>
        <w:pStyle w:val="List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bookmarkEnd w:id="5"/>
      <w:r>
        <w:rPr>
          <w:rFonts w:ascii="Times New Roman" w:hAnsi="Times New Roman"/>
          <w:color w:val="000000"/>
          <w:sz w:val="18"/>
          <w:szCs w:val="18"/>
        </w:rPr>
        <w:t>Процедуры, рекомендуемые врачами – консультантами назначаются лечащим врачом согласно п.1 настоящих Правил.</w:t>
      </w:r>
    </w:p>
    <w:p>
      <w:pPr>
        <w:pStyle w:val="List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При выявлении противопоказаний или отказе гостя от какой – либо медицинской манипуляции, есть возможность сделать замену на какую – либо другую медицинскую манипуляцию внутри лечебного блока с/</w:t>
      </w:r>
      <w:r>
        <w:rPr>
          <w:rFonts w:ascii="Times New Roman" w:hAnsi="Times New Roman"/>
          <w:color w:val="000000"/>
          <w:sz w:val="18"/>
          <w:szCs w:val="18"/>
        </w:rPr>
        <w:t>к путевки</w:t>
      </w:r>
      <w:r>
        <w:rPr>
          <w:rFonts w:ascii="Times New Roman" w:hAnsi="Times New Roman"/>
          <w:color w:val="000000"/>
          <w:sz w:val="18"/>
          <w:szCs w:val="18"/>
        </w:rPr>
        <w:t xml:space="preserve">. </w:t>
      </w:r>
    </w:p>
    <w:p>
      <w:pPr>
        <w:pStyle w:val="List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В случае выявления абсолютных противопоказаний для санаторно- курортного лечения, гостю предоставляется право выбора:</w:t>
      </w:r>
    </w:p>
    <w:p>
      <w:pPr>
        <w:pStyle w:val="List2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остаться в санатории для отдыха (без назначения лечебных, диагностических и оздоровительных мероприятий) с возвратом разницы в оплате; </w:t>
      </w:r>
    </w:p>
    <w:p>
      <w:pPr>
        <w:pStyle w:val="List2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заменить мероприятия лечебного блока на мероприятия диагностического блока (в пределах стоимости медицинской составляющей путевки) </w:t>
      </w:r>
    </w:p>
    <w:p>
      <w:pPr>
        <w:pStyle w:val="List2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аннулировать путевку (со дня выявления абсолютных противопоказаний) с возвратом денежных средств за неиспользованные дни. </w:t>
      </w:r>
    </w:p>
    <w:p>
      <w:pPr>
        <w:pStyle w:val="List2"/>
        <w:tabs>
          <w:tab w:val="left" w:pos="426"/>
        </w:tabs>
        <w:ind w:left="0" w:firstLine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Решение о признании гостя абсолютно противопоказанным для санаторно- курортного лечения принимает Врачебная комиссия санатория.</w:t>
      </w:r>
    </w:p>
    <w:p>
      <w:pPr>
        <w:pStyle w:val="List2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В случае необоснованного пропуска процедуры пациентом, пропуска процедуры по объективным обстоятельствам, но без своевременного предупреждения медработника и предварительного переноса указанной процедуры, не получения процедуры из – за опоздания более чем на 5 минут, пропущенные процедуры не восстанавливаются, не переносятся и возврат денежных средств за неиспользованную процедуру не производится.</w:t>
      </w:r>
    </w:p>
    <w:p>
      <w:pPr>
        <w:pStyle w:val="List2"/>
        <w:rPr>
          <w:rFonts w:ascii="Times New Roman" w:hAnsi="Times New Roman"/>
          <w:color w:val="000000"/>
          <w:sz w:val="18"/>
          <w:szCs w:val="18"/>
        </w:rPr>
      </w:pPr>
      <w:bookmarkEnd w:id="3"/>
      <w:bookmarkEnd w:id="4"/>
    </w:p>
    <w:p/>
    <w:sectPr>
      <w:pgSz w:w="11906" w:h="16838"/>
      <w:pgMar w:top="426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4"/>
      <w:numFmt w:val="bullet"/>
      <w:lvlText w:val=""/>
      <w:lvlJc w:val="left"/>
      <w:pPr>
        <w:ind w:left="1080" w:hanging="360"/>
      </w:pPr>
      <w:rPr>
        <w:rFonts w:ascii="Symbol" w:cs="Courier New" w:eastAsia="Times New Roman" w:hAnsi="Symbol" w:hint="default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3E"/>
    <w:rsid w:val="00066620"/>
    <w:rsid w:val="00212C3E"/>
    <w:rsid w:val="00A2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61F03-E9B1-4902-813F-1E8D1FADA295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line="256" w:lineRule="auto"/>
    </w:pPr>
    <w:rPr>
      <w:rFonts w:ascii="Calibri" w:cs="Times New Roman" w:eastAsia="Calibri" w:hAnsi="Calibri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2">
    <w:name w:val="List 2"/>
    <w:basedOn w:val="Normal"/>
    <w:uiPriority w:val="99"/>
    <w:semiHidden w:val="on"/>
    <w:unhideWhenUsed w:val="on"/>
    <w:pPr>
      <w:widowControl w:val="off"/>
      <w:spacing w:after="0" w:line="240" w:lineRule="auto"/>
      <w:ind w:left="566" w:hanging="283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Васильченко "САНАТОРИЙ ИСТОЧНИК"</dc:creator>
  <cp:lastModifiedBy>Author</cp:lastModifiedBy>
</cp:coreProperties>
</file>